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7"/>
        <w:gridCol w:w="3906"/>
        <w:gridCol w:w="1120"/>
        <w:gridCol w:w="2830"/>
        <w:gridCol w:w="5605"/>
      </w:tblGrid>
      <w:tr w:rsidR="00510216" w:rsidRPr="00510216" w:rsidTr="00510216">
        <w:trPr>
          <w:trHeight w:val="290"/>
        </w:trPr>
        <w:tc>
          <w:tcPr>
            <w:tcW w:w="133" w:type="pct"/>
            <w:tcBorders>
              <w:top w:val="nil"/>
              <w:left w:val="nil"/>
              <w:bottom w:val="nil"/>
              <w:right w:val="nil"/>
            </w:tcBorders>
            <w:shd w:val="clear" w:color="auto" w:fill="auto"/>
            <w:noWrap/>
            <w:vAlign w:val="bottom"/>
            <w:hideMark/>
          </w:tcPr>
          <w:p w:rsidR="00510216" w:rsidRPr="00510216" w:rsidRDefault="00510216" w:rsidP="00510216">
            <w:pPr>
              <w:spacing w:after="0" w:line="240" w:lineRule="auto"/>
              <w:rPr>
                <w:rFonts w:ascii="Segoe UI" w:eastAsia="Times New Roman" w:hAnsi="Segoe UI" w:cs="Segoe UI"/>
                <w:color w:val="000000"/>
                <w:sz w:val="18"/>
                <w:lang w:eastAsia="en-GB"/>
              </w:rPr>
            </w:pPr>
            <w:r w:rsidRPr="00510216">
              <w:rPr>
                <w:rFonts w:ascii="Segoe UI" w:eastAsia="Times New Roman" w:hAnsi="Segoe UI" w:cs="Segoe UI"/>
                <w:noProof/>
                <w:color w:val="000000"/>
                <w:sz w:val="18"/>
                <w:lang w:eastAsia="en-GB"/>
              </w:rPr>
              <w:drawing>
                <wp:anchor distT="0" distB="0" distL="114300" distR="114300" simplePos="0" relativeHeight="251658240" behindDoc="0" locked="0" layoutInCell="1" allowOverlap="1">
                  <wp:simplePos x="0" y="0"/>
                  <wp:positionH relativeFrom="column">
                    <wp:posOffset>-6350</wp:posOffset>
                  </wp:positionH>
                  <wp:positionV relativeFrom="paragraph">
                    <wp:posOffset>-12700</wp:posOffset>
                  </wp:positionV>
                  <wp:extent cx="1130300" cy="476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056" cy="474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1"/>
            </w:tblGrid>
            <w:tr w:rsidR="00510216" w:rsidRPr="00510216">
              <w:trPr>
                <w:trHeight w:val="290"/>
                <w:tblCellSpacing w:w="0" w:type="dxa"/>
              </w:trPr>
              <w:tc>
                <w:tcPr>
                  <w:tcW w:w="700" w:type="dxa"/>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r>
          </w:tbl>
          <w:p w:rsidR="00510216" w:rsidRPr="00510216" w:rsidRDefault="00510216" w:rsidP="00510216">
            <w:pPr>
              <w:spacing w:after="0" w:line="240" w:lineRule="auto"/>
              <w:rPr>
                <w:rFonts w:ascii="Segoe UI" w:eastAsia="Times New Roman" w:hAnsi="Segoe UI" w:cs="Segoe UI"/>
                <w:color w:val="000000"/>
                <w:sz w:val="18"/>
                <w:lang w:eastAsia="en-GB"/>
              </w:rPr>
            </w:pP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right"/>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IADI Training and Capacity Building Unit</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right"/>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SATAP Request Checklist</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840"/>
        </w:trPr>
        <w:tc>
          <w:tcPr>
            <w:tcW w:w="1975" w:type="pct"/>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0216" w:rsidRPr="00510216" w:rsidRDefault="00510216" w:rsidP="00510216">
            <w:pPr>
              <w:spacing w:after="0" w:line="240" w:lineRule="auto"/>
              <w:jc w:val="center"/>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Requested documentation</w:t>
            </w:r>
          </w:p>
        </w:tc>
        <w:tc>
          <w:tcPr>
            <w:tcW w:w="249" w:type="pct"/>
            <w:tcBorders>
              <w:top w:val="single" w:sz="4" w:space="0" w:color="auto"/>
              <w:left w:val="nil"/>
              <w:bottom w:val="single" w:sz="4" w:space="0" w:color="auto"/>
              <w:right w:val="single" w:sz="4" w:space="0" w:color="auto"/>
            </w:tcBorders>
            <w:shd w:val="clear" w:color="000000" w:fill="000000"/>
            <w:vAlign w:val="center"/>
            <w:hideMark/>
          </w:tcPr>
          <w:p w:rsidR="00510216" w:rsidRDefault="00510216" w:rsidP="00510216">
            <w:pPr>
              <w:spacing w:after="0" w:line="240" w:lineRule="auto"/>
              <w:jc w:val="center"/>
              <w:rPr>
                <w:rFonts w:ascii="Calibri" w:eastAsia="Times New Roman" w:hAnsi="Calibri" w:cs="Calibri"/>
                <w:b/>
                <w:bCs/>
                <w:color w:val="FFFFFF"/>
                <w:sz w:val="18"/>
                <w:lang w:eastAsia="en-GB"/>
              </w:rPr>
            </w:pPr>
            <w:r>
              <w:rPr>
                <w:rFonts w:ascii="Calibri" w:eastAsia="Times New Roman" w:hAnsi="Calibri" w:cs="Calibri"/>
                <w:b/>
                <w:bCs/>
                <w:color w:val="FFFFFF"/>
                <w:sz w:val="18"/>
                <w:lang w:eastAsia="en-GB"/>
              </w:rPr>
              <w:t>Available</w:t>
            </w:r>
          </w:p>
          <w:p w:rsidR="00510216" w:rsidRPr="00510216" w:rsidRDefault="00510216" w:rsidP="00510216">
            <w:pPr>
              <w:spacing w:after="0" w:line="240" w:lineRule="auto"/>
              <w:jc w:val="center"/>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Yes/No/Not applicable</w:t>
            </w:r>
          </w:p>
        </w:tc>
        <w:tc>
          <w:tcPr>
            <w:tcW w:w="1456" w:type="pct"/>
            <w:tcBorders>
              <w:top w:val="single" w:sz="4" w:space="0" w:color="auto"/>
              <w:left w:val="nil"/>
              <w:bottom w:val="single" w:sz="4" w:space="0" w:color="auto"/>
              <w:right w:val="single" w:sz="4" w:space="0" w:color="auto"/>
            </w:tcBorders>
            <w:shd w:val="clear" w:color="000000" w:fill="000000"/>
            <w:noWrap/>
            <w:vAlign w:val="center"/>
            <w:hideMark/>
          </w:tcPr>
          <w:p w:rsidR="00510216" w:rsidRPr="00510216" w:rsidRDefault="00510216" w:rsidP="00510216">
            <w:pPr>
              <w:spacing w:after="0" w:line="240" w:lineRule="auto"/>
              <w:jc w:val="center"/>
              <w:rPr>
                <w:rFonts w:ascii="Calibri" w:eastAsia="Times New Roman" w:hAnsi="Calibri" w:cs="Calibri"/>
                <w:b/>
                <w:bCs/>
                <w:color w:val="FFFFFF"/>
                <w:sz w:val="18"/>
                <w:lang w:eastAsia="en-GB"/>
              </w:rPr>
            </w:pPr>
            <w:r>
              <w:rPr>
                <w:rFonts w:ascii="Calibri" w:eastAsia="Times New Roman" w:hAnsi="Calibri" w:cs="Calibri"/>
                <w:b/>
                <w:bCs/>
                <w:color w:val="FFFFFF"/>
                <w:sz w:val="18"/>
                <w:lang w:eastAsia="en-GB"/>
              </w:rPr>
              <w:t>Name of the d</w:t>
            </w:r>
            <w:r w:rsidRPr="00510216">
              <w:rPr>
                <w:rFonts w:ascii="Calibri" w:eastAsia="Times New Roman" w:hAnsi="Calibri" w:cs="Calibri"/>
                <w:b/>
                <w:bCs/>
                <w:color w:val="FFFFFF"/>
                <w:sz w:val="18"/>
                <w:lang w:eastAsia="en-GB"/>
              </w:rPr>
              <w:t>ocument</w:t>
            </w:r>
            <w:r>
              <w:rPr>
                <w:rFonts w:ascii="Calibri" w:eastAsia="Times New Roman" w:hAnsi="Calibri" w:cs="Calibri"/>
                <w:b/>
                <w:bCs/>
                <w:color w:val="FFFFFF"/>
                <w:sz w:val="18"/>
                <w:lang w:eastAsia="en-GB"/>
              </w:rPr>
              <w:t>(</w:t>
            </w:r>
            <w:r w:rsidRPr="00510216">
              <w:rPr>
                <w:rFonts w:ascii="Calibri" w:eastAsia="Times New Roman" w:hAnsi="Calibri" w:cs="Calibri"/>
                <w:b/>
                <w:bCs/>
                <w:color w:val="FFFFFF"/>
                <w:sz w:val="18"/>
                <w:lang w:eastAsia="en-GB"/>
              </w:rPr>
              <w:t>s</w:t>
            </w:r>
            <w:r>
              <w:rPr>
                <w:rFonts w:ascii="Calibri" w:eastAsia="Times New Roman" w:hAnsi="Calibri" w:cs="Calibri"/>
                <w:b/>
                <w:bCs/>
                <w:color w:val="FFFFFF"/>
                <w:sz w:val="18"/>
                <w:lang w:eastAsia="en-GB"/>
              </w:rPr>
              <w:t>)</w:t>
            </w:r>
          </w:p>
        </w:tc>
        <w:tc>
          <w:tcPr>
            <w:tcW w:w="1320" w:type="pct"/>
            <w:tcBorders>
              <w:top w:val="single" w:sz="4" w:space="0" w:color="auto"/>
              <w:left w:val="nil"/>
              <w:bottom w:val="single" w:sz="4" w:space="0" w:color="auto"/>
              <w:right w:val="single" w:sz="4" w:space="0" w:color="auto"/>
            </w:tcBorders>
            <w:shd w:val="clear" w:color="000000" w:fill="000000"/>
            <w:noWrap/>
            <w:vAlign w:val="center"/>
            <w:hideMark/>
          </w:tcPr>
          <w:p w:rsidR="00510216" w:rsidRPr="00510216" w:rsidRDefault="00510216" w:rsidP="00510216">
            <w:pPr>
              <w:spacing w:after="0" w:line="240" w:lineRule="auto"/>
              <w:jc w:val="center"/>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Indicate specific articles/sections/references containing the information</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Self-assessment</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000000"/>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Self-assessment grading using the IADI format</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Operating environment</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Macroeconomic reports issued by safety-net authorities or international multilateral agencies such as the as the IMF, the World Bank and the Organization for Economic Co-operation and Development (OECD).</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Reports from the central bank or bank supervisor detailing specifics of the financial system including, structure, condition of banks, type and characteristics of banks, types of depositors, covered depositor and currency composition of deposits.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116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Legal and judicial framework including, banking laws and regulations; deposit insurance laws and regulations; key deposit insurance agency policies and resolutions; securities laws, central bank laws and regulations; bank supervision agency laws and regulations; bankruptcy laws and codes; and, policies, rules, and regulations governing problem bank resolutions.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Accounting and disclosure system, including reports related to the deposit insurance financial statements.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Results of IMF or World Bank Financial Sector Assessment Program (FSAP), Article IV reports, or FSB peer reviews.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lastRenderedPageBreak/>
              <w:t>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Compliance with other international standards such as the BCBS’s Core Principles for Effective Banking Supervision and the FSB’s Key Attributes of Effective Resolution Regimes.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Depositor preference rules and regulations: treatment of depositors in the creditor hierarchy.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Results of any previous self-assessments, peer reviews, or other evaluation of the deposit insurance system.</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Liquidity, stress, and resolvability tests, as available.</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 – Public policy objectives</w:t>
            </w:r>
          </w:p>
        </w:tc>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the design features of the deposit insurance system incorporating the two principal objectives of protecting depositors and contributing to the stability of the financial system.</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2 – Mandate and powers</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the public policy objectives and the powers of the deposit insurer, including elements described in the EC4.</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Operational budget, business plans, financial statements, and strategic plans.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clarifying the roles and responsibilities of safety-net members.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 xml:space="preserve">Principle 3 – Governance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regulations, policy statements or other documents supporting the independence of the deposit insurer.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Corporate governance framework, including internal control, transparency and disclosure regimes, and stakeholder information.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lastRenderedPageBreak/>
              <w:t>16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Laws or statutes related to the terms, conditions and composition of the Board of Directors and the Governing Body.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Codes of conduct to ensure ethical standards.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Regular assessments carried out to monitor deposit insurer’s capacity to fulfil its mandate.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19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External audit reports and letters from the auditors relating to the deposit insurance agency.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4 – Relationship with other safety-net participants</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the close coordination of activities and information sharing between the DI and safety-net participants.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Memoranda of understanding (MOU), confidentiality and other legal agreements existing between the DIA and other safety-net participants.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Relevant internal guidelines, regulations and manuals of the deposit insurance agency.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Examples of information that </w:t>
            </w:r>
            <w:proofErr w:type="gramStart"/>
            <w:r w:rsidRPr="00510216">
              <w:rPr>
                <w:rFonts w:ascii="Calibri" w:eastAsia="Times New Roman" w:hAnsi="Calibri" w:cs="Calibri"/>
                <w:color w:val="000000"/>
                <w:sz w:val="18"/>
                <w:lang w:eastAsia="en-GB"/>
              </w:rPr>
              <w:t>is regularly shared</w:t>
            </w:r>
            <w:proofErr w:type="gramEnd"/>
            <w:r w:rsidRPr="00510216">
              <w:rPr>
                <w:rFonts w:ascii="Calibri" w:eastAsia="Times New Roman" w:hAnsi="Calibri" w:cs="Calibri"/>
                <w:color w:val="000000"/>
                <w:sz w:val="18"/>
                <w:lang w:eastAsia="en-GB"/>
              </w:rPr>
              <w:t xml:space="preserve"> under the MOU; minutes of interagency meetings; and other examples that demonstrate ongoing coordination and collaboration.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Internal policies or procedures that guide the exchange of information under an MOU.</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5 – Cross border issues</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Banking system reports that identify the extent of foreign banking presence in the jurisdiction.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regulations, policy statements or other documents supporting the close coordination of activities and information sharing with jurisdictions where there is a material presence of foreign banks.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or documents supporting deposit insurer’s responsibility of covering deposits in a foreign jurisdiction, if applicable.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lastRenderedPageBreak/>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6 – Deposit insurer’s role in contingency planning and crisis management</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regulations, policy statements or other documents supporting contingency planning and crisis management procedures.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29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System-wide strategies or policies to undertake crisis preparedness with other safety-net players.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Institutional framework for ongoing communication and coordination with other safety-net members.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Reports or documentation summarizing the results of tests or exercises related to crisis preparedness.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Pre- and post-crisis communication plans involving safety-net participants.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7 – Membership</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membership conditions and procedures.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Communication protocols related to informing depositors about the withdrawal of the bank’s deposit-taking license by the relevant authority.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8 – Coverage</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35a</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Level and scope of deposit coverage;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single" w:sz="4" w:space="0" w:color="auto"/>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35b</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The insured deposits, reflecting the public policy objectives;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35c</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The ineligibility of deposits and depositors for deposit protection;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35d</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The level and scope of coverage periodical revision;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35e</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Situations where there are multiple deposit insurers operating in the same national jurisdiction, but differences in coverage do </w:t>
            </w:r>
            <w:r w:rsidRPr="00510216">
              <w:rPr>
                <w:rFonts w:ascii="Calibri" w:eastAsia="Times New Roman" w:hAnsi="Calibri" w:cs="Calibri"/>
                <w:color w:val="000000"/>
                <w:sz w:val="18"/>
                <w:lang w:eastAsia="en-GB"/>
              </w:rPr>
              <w:lastRenderedPageBreak/>
              <w:t>not adversely affect overall deposit insurance system effectiveness and financial stability; and,</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lastRenderedPageBreak/>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35f</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Blanket guarantee conditions, if applicable.</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9 – Sources and uses of funds</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or documents supporting funding arrangement</w:t>
            </w:r>
            <w:r>
              <w:rPr>
                <w:rFonts w:ascii="Calibri" w:eastAsia="Times New Roman" w:hAnsi="Calibri" w:cs="Calibri"/>
                <w:color w:val="000000"/>
                <w:sz w:val="18"/>
                <w:lang w:eastAsia="en-GB"/>
              </w:rPr>
              <w:t>s as a responsibility of member</w:t>
            </w:r>
            <w:r w:rsidRPr="00510216">
              <w:rPr>
                <w:rFonts w:ascii="Calibri" w:eastAsia="Times New Roman" w:hAnsi="Calibri" w:cs="Calibri"/>
                <w:color w:val="000000"/>
                <w:sz w:val="18"/>
                <w:lang w:eastAsia="en-GB"/>
              </w:rPr>
              <w:t xml:space="preserve"> banks.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or documents supporting “seed” funding, if applicable.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or documents supporting emergency funding arrangements.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39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Target fund determination methodology.</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Investment policies and risk managements procedures.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or documents supporting the authorized use of funds by the deposit insurance system.</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or documents supporting the premium system, including its methodology, and the scoring/premium categories.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10 – Public awareness</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Communication plans or programs issued by the deposit insurer as a normal course of business and in the event of a bank failure.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Public awareness program, as part of a long-term strategy, including budget allocations and cross-border arrangements.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Results of independent evaluations of the effectiveness of its public awareness program or activities.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11 – Legal protection</w:t>
            </w:r>
          </w:p>
        </w:tc>
      </w:tr>
      <w:tr w:rsidR="00510216" w:rsidRPr="00510216" w:rsidTr="00510216">
        <w:trPr>
          <w:trHeight w:val="116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lastRenderedPageBreak/>
              <w:t>46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that explain the legal protections offered to DI staff and others, both currently and formerly for the deposit insurer.</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12 – Dealing with parties at fault</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deposit insurer’s (or other relevant authority’s) power to seek legal redress against those parties at fault in a bank failure.</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bookmarkStart w:id="0" w:name="_GoBack"/>
        <w:bookmarkEnd w:id="0"/>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The policies and procedures in place to ensure that insiders, related parties and professional service providers acting for the failed bank are appropriately investigated for wrongdoing and for possible culpability in a bank failure.</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13 – Early detection and timely intervention</w:t>
            </w:r>
          </w:p>
        </w:tc>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49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 the existence of an effective framework within the financial safety net that provides for the early detection of, and timely intervention in, banks in financial difficulty before the bank becomes non-viable.</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regulation or arrangements supporting clearly defined qualitative and/or quantitative criteria that </w:t>
            </w:r>
            <w:proofErr w:type="gramStart"/>
            <w:r w:rsidRPr="00510216">
              <w:rPr>
                <w:rFonts w:ascii="Calibri" w:eastAsia="Times New Roman" w:hAnsi="Calibri" w:cs="Calibri"/>
                <w:color w:val="000000"/>
                <w:sz w:val="18"/>
                <w:lang w:eastAsia="en-GB"/>
              </w:rPr>
              <w:t>are used</w:t>
            </w:r>
            <w:proofErr w:type="gramEnd"/>
            <w:r w:rsidRPr="00510216">
              <w:rPr>
                <w:rFonts w:ascii="Calibri" w:eastAsia="Times New Roman" w:hAnsi="Calibri" w:cs="Calibri"/>
                <w:color w:val="000000"/>
                <w:sz w:val="18"/>
                <w:lang w:eastAsia="en-GB"/>
              </w:rPr>
              <w:t xml:space="preserve"> to trigger timely intervention or corrective action.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Documents or procedures supporting a periodical revision of the detection and intervention framework.</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14 – Failure resolution</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52</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regulations, policy statements or other documents supporting</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lastRenderedPageBreak/>
              <w:t>52a</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The special resolution regime framework, including the powers, roles and responsibilities of each safety-net member;</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52b</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The resolution tools available in the jurisdiction;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52c</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Least cost determination when selecting a resolution method; and</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52d</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7D4290">
            <w:pPr>
              <w:spacing w:after="0" w:line="240" w:lineRule="auto"/>
              <w:ind w:left="390"/>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Resolution regime isolation against legal actions aiming the reversal of the decisions related to the resolution of non-viable banks.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15 – Reimbursing depositors</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53</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Documentation and procedures supporting the reimbursement plan.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54</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Contracts or agreements with agent banks, if any.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55</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Pre- and post-closing manuals and documentation.</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56</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Scenario simulations on bank closing.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57</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Post-mortem reports, if any, reviewing </w:t>
            </w:r>
            <w:proofErr w:type="spellStart"/>
            <w:r w:rsidRPr="00510216">
              <w:rPr>
                <w:rFonts w:ascii="Calibri" w:eastAsia="Times New Roman" w:hAnsi="Calibri" w:cs="Calibri"/>
                <w:color w:val="000000"/>
                <w:sz w:val="18"/>
                <w:lang w:eastAsia="en-GB"/>
              </w:rPr>
              <w:t>payout</w:t>
            </w:r>
            <w:proofErr w:type="spellEnd"/>
            <w:r w:rsidRPr="00510216">
              <w:rPr>
                <w:rFonts w:ascii="Calibri" w:eastAsia="Times New Roman" w:hAnsi="Calibri" w:cs="Calibri"/>
                <w:color w:val="000000"/>
                <w:sz w:val="18"/>
                <w:lang w:eastAsia="en-GB"/>
              </w:rPr>
              <w:t xml:space="preserve"> procedures.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58</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Contracts or arrangements with clearing and settlement system agencies.</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133"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 </w:t>
            </w:r>
          </w:p>
        </w:tc>
        <w:tc>
          <w:tcPr>
            <w:tcW w:w="1842"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249"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nil"/>
              <w:right w:val="nil"/>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10216" w:rsidRPr="00510216" w:rsidRDefault="00510216" w:rsidP="00510216">
            <w:pPr>
              <w:spacing w:after="0" w:line="240" w:lineRule="auto"/>
              <w:ind w:firstLineChars="200" w:firstLine="360"/>
              <w:rPr>
                <w:rFonts w:ascii="Calibri" w:eastAsia="Times New Roman" w:hAnsi="Calibri" w:cs="Calibri"/>
                <w:b/>
                <w:bCs/>
                <w:color w:val="FFFFFF"/>
                <w:sz w:val="18"/>
                <w:lang w:eastAsia="en-GB"/>
              </w:rPr>
            </w:pPr>
            <w:r w:rsidRPr="00510216">
              <w:rPr>
                <w:rFonts w:ascii="Calibri" w:eastAsia="Times New Roman" w:hAnsi="Calibri" w:cs="Calibri"/>
                <w:b/>
                <w:bCs/>
                <w:color w:val="FFFFFF"/>
                <w:sz w:val="18"/>
                <w:lang w:eastAsia="en-GB"/>
              </w:rPr>
              <w:t>Principle 16 – Recoveries</w:t>
            </w:r>
          </w:p>
        </w:tc>
      </w:tr>
      <w:tr w:rsidR="00510216" w:rsidRPr="00510216" w:rsidTr="00510216">
        <w:trPr>
          <w:trHeight w:val="29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59</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supporting the deposit insurer’s role in the recovery process.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58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60</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xml:space="preserve">Legislation supporting the deposit insurer’s recognition as a creditor of the failed bank, its creditor rights and its treatment after the bank failure. </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r w:rsidR="00510216" w:rsidRPr="00510216" w:rsidTr="00510216">
        <w:trPr>
          <w:trHeight w:val="870"/>
        </w:trPr>
        <w:tc>
          <w:tcPr>
            <w:tcW w:w="133" w:type="pct"/>
            <w:tcBorders>
              <w:top w:val="nil"/>
              <w:left w:val="single" w:sz="4" w:space="0" w:color="auto"/>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b/>
                <w:bCs/>
                <w:color w:val="000000"/>
                <w:sz w:val="18"/>
                <w:lang w:eastAsia="en-GB"/>
              </w:rPr>
            </w:pPr>
            <w:r w:rsidRPr="00510216">
              <w:rPr>
                <w:rFonts w:ascii="Calibri" w:eastAsia="Times New Roman" w:hAnsi="Calibri" w:cs="Calibri"/>
                <w:b/>
                <w:bCs/>
                <w:color w:val="000000"/>
                <w:sz w:val="18"/>
                <w:lang w:eastAsia="en-GB"/>
              </w:rPr>
              <w:t>61</w:t>
            </w:r>
          </w:p>
        </w:tc>
        <w:tc>
          <w:tcPr>
            <w:tcW w:w="1842"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Legislation or documentation prohibiting that those working on behalf of the deposit insurer, other financial safety-net participants, and third party professional service providers providing resolution services, are not allowed to purchase assets from the liquidator.</w:t>
            </w:r>
          </w:p>
        </w:tc>
        <w:tc>
          <w:tcPr>
            <w:tcW w:w="249"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jc w:val="center"/>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456"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c>
          <w:tcPr>
            <w:tcW w:w="1320" w:type="pct"/>
            <w:tcBorders>
              <w:top w:val="nil"/>
              <w:left w:val="nil"/>
              <w:bottom w:val="single" w:sz="4" w:space="0" w:color="auto"/>
              <w:right w:val="single" w:sz="4" w:space="0" w:color="auto"/>
            </w:tcBorders>
            <w:shd w:val="clear" w:color="000000" w:fill="FFFFFF"/>
            <w:vAlign w:val="center"/>
            <w:hideMark/>
          </w:tcPr>
          <w:p w:rsidR="00510216" w:rsidRPr="00510216" w:rsidRDefault="00510216" w:rsidP="00510216">
            <w:pPr>
              <w:spacing w:after="0" w:line="240" w:lineRule="auto"/>
              <w:rPr>
                <w:rFonts w:ascii="Calibri" w:eastAsia="Times New Roman" w:hAnsi="Calibri" w:cs="Calibri"/>
                <w:color w:val="000000"/>
                <w:sz w:val="18"/>
                <w:lang w:eastAsia="en-GB"/>
              </w:rPr>
            </w:pPr>
            <w:r w:rsidRPr="00510216">
              <w:rPr>
                <w:rFonts w:ascii="Calibri" w:eastAsia="Times New Roman" w:hAnsi="Calibri" w:cs="Calibri"/>
                <w:color w:val="000000"/>
                <w:sz w:val="18"/>
                <w:lang w:eastAsia="en-GB"/>
              </w:rPr>
              <w:t> </w:t>
            </w:r>
          </w:p>
        </w:tc>
      </w:tr>
    </w:tbl>
    <w:p w:rsidR="00510216" w:rsidRDefault="00510216"/>
    <w:sectPr w:rsidR="00510216" w:rsidSect="00510216">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16"/>
    <w:rsid w:val="00215A2F"/>
    <w:rsid w:val="004C5801"/>
    <w:rsid w:val="00510216"/>
    <w:rsid w:val="007B4B63"/>
    <w:rsid w:val="007D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37C21"/>
  <w15:chartTrackingRefBased/>
  <w15:docId w15:val="{E5E110A0-4899-447E-8357-E2A2BFE9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4BE06080CC941BCD6D526E2F7E82500E77007F1DABC524D8717B61E9F7C7E51" ma:contentTypeVersion="1" ma:contentTypeDescription="Create a new document." ma:contentTypeScope="" ma:versionID="7214e76674966a39d0301ccd45802610">
  <xsd:schema xmlns:xsd="http://www.w3.org/2001/XMLSchema" xmlns:xs="http://www.w3.org/2001/XMLSchema" xmlns:p="http://schemas.microsoft.com/office/2006/metadata/properties" xmlns:ns2="dcafdc02-086a-41b1-854d-1ced7e930a5a" targetNamespace="http://schemas.microsoft.com/office/2006/metadata/properties" ma:root="true" ma:fieldsID="e420bc23926efb51b70ea2d89bceaa15" ns2:_="">
    <xsd:import namespace="dcafdc02-086a-41b1-854d-1ced7e930a5a"/>
    <xsd:element name="properties">
      <xsd:complexType>
        <xsd:sequence>
          <xsd:element name="documentManagement">
            <xsd:complexType>
              <xsd:all>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fdc02-086a-41b1-854d-1ced7e930a5a" elementFormDefault="qualified">
    <xsd:import namespace="http://schemas.microsoft.com/office/2006/documentManagement/types"/>
    <xsd:import namespace="http://schemas.microsoft.com/office/infopath/2007/PartnerControls"/>
    <xsd:element name="Info" ma:index="8" nillable="true" ma:displayName="Info" ma:internalName="Info">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dcafdc02-086a-41b1-854d-1ced7e930a5a" xsi:nil="true"/>
  </documentManagement>
</p:properties>
</file>

<file path=customXml/itemProps1.xml><?xml version="1.0" encoding="utf-8"?>
<ds:datastoreItem xmlns:ds="http://schemas.openxmlformats.org/officeDocument/2006/customXml" ds:itemID="{7BEE9B87-40AB-455A-B890-0EA316997C55}"/>
</file>

<file path=customXml/itemProps2.xml><?xml version="1.0" encoding="utf-8"?>
<ds:datastoreItem xmlns:ds="http://schemas.openxmlformats.org/officeDocument/2006/customXml" ds:itemID="{B72FC55A-FD52-4E4B-A707-D758A17C1711}"/>
</file>

<file path=customXml/itemProps3.xml><?xml version="1.0" encoding="utf-8"?>
<ds:datastoreItem xmlns:ds="http://schemas.openxmlformats.org/officeDocument/2006/customXml" ds:itemID="{DB4A8D2C-D82C-46F0-81A9-8A740ACEF219}"/>
</file>

<file path=docProps/app.xml><?xml version="1.0" encoding="utf-8"?>
<Properties xmlns="http://schemas.openxmlformats.org/officeDocument/2006/extended-properties" xmlns:vt="http://schemas.openxmlformats.org/officeDocument/2006/docPropsVTypes">
  <Template>Normal</Template>
  <TotalTime>12</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Juan - IADI</dc:creator>
  <cp:keywords/>
  <dc:description/>
  <cp:lastModifiedBy>Lopez, Juan - IADI</cp:lastModifiedBy>
  <cp:revision>2</cp:revision>
  <dcterms:created xsi:type="dcterms:W3CDTF">2021-04-16T08:21:00Z</dcterms:created>
  <dcterms:modified xsi:type="dcterms:W3CDTF">2021-04-16T08:33:00Z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0x0101003384BE06080CC941BCD6D526E2F7E82500E77007F1DABC524D8717B61E9F7C7E51</vt:lpwstr>
  </property>
</Properties>
</file>